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b/>
          <w:sz w:val="36"/>
          <w:szCs w:val="36"/>
          <w:lang w:val="en-US" w:eastAsia="zh-CN"/>
        </w:rPr>
      </w:pPr>
      <w:r>
        <w:rPr>
          <w:rFonts w:hint="eastAsia"/>
          <w:b/>
          <w:sz w:val="36"/>
          <w:szCs w:val="36"/>
          <w:lang w:val="en-US" w:eastAsia="zh-CN"/>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b/>
          <w:sz w:val="36"/>
          <w:szCs w:val="36"/>
          <w:lang w:val="en-US" w:eastAsia="zh-CN"/>
        </w:rPr>
        <w:instrText xml:space="preserve">ADDIN CNKISM.UserStyle</w:instrText>
      </w:r>
      <w:r>
        <w:rPr>
          <w:rFonts w:hint="eastAsia"/>
          <w:b/>
          <w:sz w:val="36"/>
          <w:szCs w:val="36"/>
          <w:lang w:val="en-US" w:eastAsia="zh-CN"/>
        </w:rPr>
        <w:fldChar w:fldCharType="separate"/>
      </w:r>
      <w:r>
        <w:rPr>
          <w:rFonts w:hint="eastAsia"/>
          <w:b/>
          <w:sz w:val="36"/>
          <w:szCs w:val="36"/>
          <w:lang w:val="en-US" w:eastAsia="zh-CN"/>
        </w:rPr>
        <w:fldChar w:fldCharType="end"/>
      </w:r>
      <w:r>
        <w:rPr>
          <w:rFonts w:hint="eastAsia"/>
          <w:b/>
          <w:sz w:val="36"/>
          <w:szCs w:val="36"/>
          <w:lang w:val="en-US" w:eastAsia="zh-CN"/>
        </w:rPr>
        <w:t>山东师范大学</w:t>
      </w:r>
      <w:r>
        <w:rPr>
          <w:rFonts w:hint="eastAsia"/>
          <w:b/>
          <w:sz w:val="36"/>
          <w:szCs w:val="36"/>
        </w:rPr>
        <w:t>全日制</w:t>
      </w:r>
      <w:r>
        <w:rPr>
          <w:rFonts w:hint="eastAsia"/>
          <w:b/>
          <w:sz w:val="36"/>
          <w:szCs w:val="36"/>
          <w:lang w:val="en-US" w:eastAsia="zh-CN"/>
        </w:rPr>
        <w:t>图书情报</w:t>
      </w:r>
      <w:r>
        <w:rPr>
          <w:rFonts w:hint="eastAsia"/>
          <w:b/>
          <w:sz w:val="36"/>
          <w:szCs w:val="36"/>
        </w:rPr>
        <w:t>专业学位研究生</w:t>
      </w:r>
      <w:r>
        <w:rPr>
          <w:rFonts w:hint="eastAsia"/>
          <w:b/>
          <w:sz w:val="36"/>
          <w:szCs w:val="36"/>
          <w:lang w:eastAsia="zh-CN"/>
        </w:rPr>
        <w:t>（</w:t>
      </w:r>
      <w:r>
        <w:rPr>
          <w:rFonts w:hint="eastAsia"/>
          <w:b/>
          <w:sz w:val="36"/>
          <w:szCs w:val="36"/>
          <w:lang w:val="en-US" w:eastAsia="zh-CN"/>
        </w:rPr>
        <w:t>3年制</w:t>
      </w:r>
      <w:r>
        <w:rPr>
          <w:rFonts w:hint="eastAsia"/>
          <w:b/>
          <w:sz w:val="36"/>
          <w:szCs w:val="36"/>
          <w:lang w:eastAsia="zh-CN"/>
        </w:rPr>
        <w:t>）</w:t>
      </w:r>
      <w:r>
        <w:rPr>
          <w:rFonts w:hint="eastAsia"/>
          <w:b/>
          <w:sz w:val="36"/>
          <w:szCs w:val="36"/>
        </w:rPr>
        <w:t>专业实践</w:t>
      </w:r>
      <w:r>
        <w:rPr>
          <w:rFonts w:hint="eastAsia"/>
          <w:b/>
          <w:sz w:val="36"/>
          <w:szCs w:val="36"/>
          <w:lang w:val="en-US" w:eastAsia="zh-CN"/>
        </w:rPr>
        <w:t>工作实施办法</w:t>
      </w:r>
    </w:p>
    <w:p>
      <w:pPr>
        <w:spacing w:line="480" w:lineRule="auto"/>
        <w:jc w:val="center"/>
        <w:rPr>
          <w:rFonts w:hint="default"/>
          <w:b/>
          <w:sz w:val="36"/>
          <w:szCs w:val="36"/>
          <w:lang w:val="en-US" w:eastAsia="zh-CN"/>
        </w:rPr>
      </w:pPr>
    </w:p>
    <w:p>
      <w:pPr>
        <w:ind w:firstLine="560" w:firstLineChars="200"/>
        <w:rPr>
          <w:sz w:val="28"/>
          <w:szCs w:val="28"/>
        </w:rPr>
      </w:pPr>
      <w:r>
        <w:rPr>
          <w:rFonts w:hint="eastAsia"/>
          <w:sz w:val="28"/>
          <w:szCs w:val="28"/>
        </w:rPr>
        <w:t>为落实全日制</w:t>
      </w:r>
      <w:r>
        <w:rPr>
          <w:rFonts w:hint="eastAsia"/>
          <w:sz w:val="28"/>
          <w:szCs w:val="28"/>
          <w:lang w:val="en-US" w:eastAsia="zh-CN"/>
        </w:rPr>
        <w:t>图书情报</w:t>
      </w:r>
      <w:r>
        <w:rPr>
          <w:rFonts w:hint="eastAsia"/>
          <w:sz w:val="28"/>
          <w:szCs w:val="28"/>
        </w:rPr>
        <w:t>专业学位研究生培养方案有关专业实践工作环节，做好我校全日制专业学位研究生专业实践工作的组织与管理，不断提高专业实践质量，</w:t>
      </w:r>
      <w:r>
        <w:rPr>
          <w:rFonts w:hint="eastAsia"/>
          <w:sz w:val="28"/>
          <w:szCs w:val="28"/>
          <w:lang w:val="en-US" w:eastAsia="zh-CN"/>
        </w:rPr>
        <w:t>图书馆根据《山东师范大学全日制专业学位研究生专业实践工作实施办法（修订）》山东师大研字[2017]20号，</w:t>
      </w:r>
      <w:r>
        <w:rPr>
          <w:rFonts w:hint="eastAsia"/>
          <w:sz w:val="28"/>
          <w:szCs w:val="28"/>
        </w:rPr>
        <w:t>特制定本办法。</w:t>
      </w:r>
    </w:p>
    <w:p>
      <w:pPr>
        <w:spacing w:line="360" w:lineRule="auto"/>
        <w:ind w:firstLine="562" w:firstLineChars="200"/>
        <w:jc w:val="left"/>
        <w:rPr>
          <w:b/>
          <w:sz w:val="28"/>
          <w:szCs w:val="28"/>
        </w:rPr>
      </w:pPr>
      <w:r>
        <w:rPr>
          <w:rFonts w:hint="eastAsia"/>
          <w:b/>
          <w:sz w:val="28"/>
          <w:szCs w:val="28"/>
        </w:rPr>
        <w:t>一、专业实践的目的与意义</w:t>
      </w:r>
    </w:p>
    <w:p>
      <w:pPr>
        <w:spacing w:line="360" w:lineRule="auto"/>
        <w:ind w:firstLine="560" w:firstLineChars="200"/>
        <w:jc w:val="left"/>
        <w:rPr>
          <w:sz w:val="28"/>
          <w:szCs w:val="28"/>
        </w:rPr>
      </w:pPr>
      <w:r>
        <w:rPr>
          <w:rFonts w:hint="eastAsia"/>
          <w:sz w:val="28"/>
          <w:szCs w:val="28"/>
        </w:rPr>
        <w:t>专业实践是培养和增强专业学位研究生专业技能，提高研究生综合素质的重要环节。全日制图书情报专业学位研究生专业实践旨在于使研究生将所学的基础理论、专业知识和基本技能综合运用于实践，为其具备较强的专业实践和研究能力，形成良好的职业素养奠定基础。</w:t>
      </w:r>
    </w:p>
    <w:p>
      <w:pPr>
        <w:spacing w:line="360" w:lineRule="auto"/>
        <w:ind w:firstLine="562" w:firstLineChars="200"/>
        <w:jc w:val="left"/>
        <w:rPr>
          <w:b/>
          <w:sz w:val="28"/>
          <w:szCs w:val="28"/>
        </w:rPr>
      </w:pPr>
      <w:r>
        <w:rPr>
          <w:rFonts w:hint="eastAsia"/>
          <w:b/>
          <w:sz w:val="28"/>
          <w:szCs w:val="28"/>
        </w:rPr>
        <w:t>二、专业实践的形式及目标</w:t>
      </w:r>
    </w:p>
    <w:p>
      <w:pPr>
        <w:spacing w:line="360" w:lineRule="auto"/>
        <w:ind w:firstLine="560" w:firstLineChars="200"/>
        <w:rPr>
          <w:sz w:val="28"/>
          <w:szCs w:val="28"/>
        </w:rPr>
      </w:pPr>
      <w:r>
        <w:rPr>
          <w:rFonts w:hint="eastAsia"/>
          <w:sz w:val="28"/>
          <w:szCs w:val="28"/>
        </w:rPr>
        <w:t>作为图书情报专业学位研究生培养单位，山东师范大学图书馆办馆历史悠久，办馆经验丰富，业务开展全面，在指导研究生进行专业实践方面较有优势。根据这一特点，山东师范大学图书馆全日制图书情报专业学位研究生专业实践采取日常参与式实践与集中系统性实践，馆内实践与校外实践相结合的形式，在不同的学习阶段安排不同的实践形式，将专业实践活动贯通在研究生在校学习的全过程，主要分馆内日常实习、馆内集中实习以及校外实习3个阶段。</w:t>
      </w:r>
    </w:p>
    <w:p>
      <w:pPr>
        <w:spacing w:line="360" w:lineRule="auto"/>
        <w:ind w:firstLine="560" w:firstLineChars="200"/>
        <w:rPr>
          <w:sz w:val="28"/>
          <w:szCs w:val="28"/>
        </w:rPr>
      </w:pPr>
      <w:r>
        <w:rPr>
          <w:rFonts w:hint="eastAsia"/>
          <w:sz w:val="28"/>
          <w:szCs w:val="28"/>
        </w:rPr>
        <w:t>（一）馆内日常实习</w:t>
      </w:r>
    </w:p>
    <w:p>
      <w:pPr>
        <w:spacing w:line="360" w:lineRule="auto"/>
        <w:ind w:firstLine="560" w:firstLineChars="200"/>
        <w:rPr>
          <w:sz w:val="28"/>
          <w:szCs w:val="28"/>
        </w:rPr>
      </w:pPr>
      <w:r>
        <w:rPr>
          <w:rFonts w:hint="eastAsia"/>
          <w:sz w:val="28"/>
          <w:szCs w:val="28"/>
        </w:rPr>
        <w:t>图书馆内日常实习为第一学年课程学习期间，学生利用课下时间参与到图书馆日常的工作任务或项目中去，在一项项具体工作任务或项目中使研究生将所学的基础理论、专业知识得以运用，提升学生对基础理论及专业知识的理解，使学生对图书馆管理与服务实践工作有初步了解和掌握。实习结束后由实习负责老师开具实习证明。馆内日常实习主要包括以下几部分内容：</w:t>
      </w:r>
    </w:p>
    <w:p>
      <w:pPr>
        <w:spacing w:line="360" w:lineRule="auto"/>
        <w:ind w:firstLine="560" w:firstLineChars="200"/>
        <w:rPr>
          <w:sz w:val="28"/>
          <w:szCs w:val="28"/>
        </w:rPr>
      </w:pPr>
      <w:r>
        <w:rPr>
          <w:rFonts w:hint="eastAsia"/>
          <w:sz w:val="28"/>
          <w:szCs w:val="28"/>
        </w:rPr>
        <w:t>1. 参与图书馆日常管理与服务。针对图书情报专业学习内容，安排学生参与图书馆日常管理与服务工作，使其了解图书馆管理与服务的基本工作和具体内容，初步掌握相关专业技能，深化专业学习内容。</w:t>
      </w:r>
    </w:p>
    <w:p>
      <w:pPr>
        <w:spacing w:line="360" w:lineRule="auto"/>
        <w:ind w:firstLine="560" w:firstLineChars="200"/>
        <w:rPr>
          <w:sz w:val="28"/>
          <w:szCs w:val="28"/>
        </w:rPr>
      </w:pPr>
      <w:r>
        <w:rPr>
          <w:rFonts w:hint="eastAsia"/>
          <w:sz w:val="28"/>
          <w:szCs w:val="28"/>
        </w:rPr>
        <w:t>2. 参与图书馆举办的各种活动，如读书节、阅读推广、师大文库建设、展览创办、学术讲座、志愿服务等等，全方位的了解图书馆围绕职能与作用发挥而开展的各种活动及活动开展的过程、图书馆各个部门的组织分工协调。</w:t>
      </w:r>
    </w:p>
    <w:p>
      <w:pPr>
        <w:spacing w:line="360" w:lineRule="auto"/>
        <w:ind w:firstLine="560" w:firstLineChars="200"/>
        <w:rPr>
          <w:sz w:val="28"/>
          <w:szCs w:val="28"/>
        </w:rPr>
      </w:pPr>
      <w:r>
        <w:rPr>
          <w:rFonts w:hint="eastAsia"/>
          <w:sz w:val="28"/>
          <w:szCs w:val="28"/>
        </w:rPr>
        <w:t>3.参与图书馆调研活动。根据图书馆各部门工作和业务开展需要，结合学生个人的研究方向，安排学生有针对性的就工作实践中的某一方面的问题开展调研活动，撰写调研报告，为部门工作的开展提供参考，同时为学生今后毕业论文的选题打下一定的基础，培养研究生发现和解决实践问题的能力。</w:t>
      </w:r>
    </w:p>
    <w:p>
      <w:pPr>
        <w:spacing w:line="360" w:lineRule="auto"/>
        <w:ind w:firstLine="560" w:firstLineChars="200"/>
        <w:rPr>
          <w:sz w:val="28"/>
          <w:szCs w:val="28"/>
        </w:rPr>
      </w:pPr>
      <w:r>
        <w:rPr>
          <w:rFonts w:hint="eastAsia"/>
          <w:sz w:val="28"/>
          <w:szCs w:val="28"/>
        </w:rPr>
        <w:t>4. 参与图书馆重要工作任务或建设项目。有针对性的安排学生参与图书馆重要工作任务或建设发展项目工作，使其能够深入了解图书馆在建设发展过程中开展的重要工作或重要项目以及开展的全过程，培养学生参与图书馆管理与建设方面能力。</w:t>
      </w:r>
    </w:p>
    <w:p>
      <w:pPr>
        <w:spacing w:line="360" w:lineRule="auto"/>
        <w:ind w:firstLine="560" w:firstLineChars="200"/>
        <w:rPr>
          <w:sz w:val="28"/>
          <w:szCs w:val="28"/>
        </w:rPr>
      </w:pPr>
      <w:r>
        <w:rPr>
          <w:rFonts w:hint="eastAsia"/>
          <w:sz w:val="28"/>
          <w:szCs w:val="28"/>
        </w:rPr>
        <w:t>（二）馆内集中实习</w:t>
      </w:r>
    </w:p>
    <w:p>
      <w:pPr>
        <w:spacing w:line="360" w:lineRule="auto"/>
        <w:ind w:firstLine="560" w:firstLineChars="200"/>
        <w:rPr>
          <w:sz w:val="28"/>
          <w:szCs w:val="28"/>
        </w:rPr>
      </w:pPr>
      <w:r>
        <w:rPr>
          <w:rFonts w:hint="eastAsia"/>
          <w:sz w:val="28"/>
          <w:szCs w:val="28"/>
        </w:rPr>
        <w:t>图书馆内集中系统性实习是指根据学生的培养方向，统筹安排学生在图书馆各个部门中轮流实习，全面参与各个部门的工作，系统了解图书馆业务流程和工作内容。馆内集中实习一般安排在第三学期，实习时间</w:t>
      </w:r>
      <w:r>
        <w:rPr>
          <w:rFonts w:hint="eastAsia"/>
          <w:sz w:val="28"/>
          <w:szCs w:val="28"/>
          <w:lang w:val="en-US" w:eastAsia="zh-CN"/>
        </w:rPr>
        <w:t>不少于</w:t>
      </w:r>
      <w:r>
        <w:rPr>
          <w:rFonts w:hint="eastAsia"/>
          <w:sz w:val="28"/>
          <w:szCs w:val="28"/>
        </w:rPr>
        <w:t>3个月。</w:t>
      </w:r>
      <w:r>
        <w:rPr>
          <w:rFonts w:hint="eastAsia"/>
          <w:sz w:val="28"/>
          <w:szCs w:val="28"/>
          <w:lang w:val="en-US" w:eastAsia="zh-CN"/>
        </w:rPr>
        <w:t>实习结束后需</w:t>
      </w:r>
      <w:r>
        <w:rPr>
          <w:rFonts w:hint="eastAsia"/>
          <w:sz w:val="28"/>
          <w:szCs w:val="28"/>
        </w:rPr>
        <w:t>填写《山东师范大学全日制专业学位研究生专业实践工作手册》。</w:t>
      </w:r>
    </w:p>
    <w:p>
      <w:pPr>
        <w:spacing w:line="360" w:lineRule="auto"/>
        <w:ind w:firstLine="560" w:firstLineChars="200"/>
        <w:rPr>
          <w:sz w:val="28"/>
          <w:szCs w:val="28"/>
        </w:rPr>
      </w:pPr>
      <w:r>
        <w:rPr>
          <w:rFonts w:hint="eastAsia"/>
          <w:sz w:val="28"/>
          <w:szCs w:val="28"/>
        </w:rPr>
        <w:t>（三）校外实习单位实习</w:t>
      </w:r>
    </w:p>
    <w:p>
      <w:pPr>
        <w:spacing w:line="360" w:lineRule="auto"/>
        <w:ind w:firstLine="560" w:firstLineChars="200"/>
        <w:rPr>
          <w:sz w:val="28"/>
          <w:szCs w:val="28"/>
        </w:rPr>
      </w:pPr>
      <w:r>
        <w:rPr>
          <w:rFonts w:hint="eastAsia"/>
          <w:sz w:val="28"/>
          <w:szCs w:val="28"/>
        </w:rPr>
        <w:t>校外实习单位实习是指学生在学位点所选择的专业实践单位中进行实习，学生也可自主联系专业实践单位。研究生提出申请并提供专业实践单位接收函，经导师和专业学位教育中心（学院）同意、研究生院审核批准后，可自主实施专业实践</w:t>
      </w:r>
      <w:r>
        <w:rPr>
          <w:rFonts w:hint="eastAsia"/>
          <w:sz w:val="28"/>
          <w:szCs w:val="28"/>
          <w:lang w:eastAsia="zh-CN"/>
        </w:rPr>
        <w:t>，研究生应严格遵守专业实践单位和学校的规章制度，自我管理实习和生活，安全责任自负</w:t>
      </w:r>
      <w:r>
        <w:rPr>
          <w:rFonts w:hint="eastAsia"/>
          <w:sz w:val="28"/>
          <w:szCs w:val="28"/>
        </w:rPr>
        <w:t>。研究生在实践单位的专业实践主要依托校外导师指导进行。</w:t>
      </w:r>
    </w:p>
    <w:p>
      <w:pPr>
        <w:spacing w:line="360" w:lineRule="auto"/>
        <w:ind w:firstLine="560" w:firstLineChars="200"/>
        <w:rPr>
          <w:sz w:val="28"/>
          <w:szCs w:val="28"/>
        </w:rPr>
      </w:pPr>
      <w:r>
        <w:rPr>
          <w:rFonts w:hint="eastAsia"/>
          <w:sz w:val="28"/>
          <w:szCs w:val="28"/>
        </w:rPr>
        <w:t>校外实习单位实习一般安排在第四学期进行。实习时间</w:t>
      </w:r>
      <w:r>
        <w:rPr>
          <w:rFonts w:hint="eastAsia"/>
          <w:sz w:val="28"/>
          <w:szCs w:val="28"/>
          <w:lang w:val="en-US" w:eastAsia="zh-CN"/>
        </w:rPr>
        <w:t>不少于</w:t>
      </w:r>
      <w:r>
        <w:rPr>
          <w:rFonts w:hint="eastAsia"/>
          <w:sz w:val="28"/>
          <w:szCs w:val="28"/>
        </w:rPr>
        <w:t>3个月</w:t>
      </w:r>
      <w:r>
        <w:rPr>
          <w:rFonts w:hint="eastAsia"/>
          <w:sz w:val="28"/>
          <w:szCs w:val="28"/>
          <w:lang w:eastAsia="zh-CN"/>
        </w:rPr>
        <w:t>，</w:t>
      </w:r>
      <w:r>
        <w:rPr>
          <w:rFonts w:hint="eastAsia"/>
          <w:sz w:val="28"/>
          <w:szCs w:val="28"/>
          <w:lang w:val="en-US" w:eastAsia="zh-CN"/>
        </w:rPr>
        <w:t>实习结束后需</w:t>
      </w:r>
      <w:r>
        <w:rPr>
          <w:rFonts w:hint="eastAsia"/>
          <w:sz w:val="28"/>
          <w:szCs w:val="28"/>
        </w:rPr>
        <w:t>填写《山东师范大学全日制专业学位研究生专业实践工作手册》。</w:t>
      </w:r>
    </w:p>
    <w:p>
      <w:pPr>
        <w:spacing w:line="360" w:lineRule="auto"/>
        <w:ind w:firstLine="562" w:firstLineChars="200"/>
        <w:jc w:val="left"/>
        <w:rPr>
          <w:rFonts w:hint="eastAsia" w:eastAsiaTheme="minorEastAsia"/>
          <w:b/>
          <w:sz w:val="28"/>
          <w:szCs w:val="28"/>
          <w:lang w:eastAsia="zh-CN"/>
        </w:rPr>
      </w:pPr>
      <w:r>
        <w:rPr>
          <w:rFonts w:hint="eastAsia"/>
          <w:b/>
          <w:sz w:val="28"/>
          <w:szCs w:val="28"/>
        </w:rPr>
        <w:t>四、专业实践的</w:t>
      </w:r>
      <w:r>
        <w:rPr>
          <w:rFonts w:hint="eastAsia"/>
          <w:b/>
          <w:sz w:val="28"/>
          <w:szCs w:val="28"/>
          <w:lang w:val="en-US" w:eastAsia="zh-CN"/>
        </w:rPr>
        <w:t>管理与考核</w:t>
      </w:r>
    </w:p>
    <w:p>
      <w:pPr>
        <w:spacing w:line="360" w:lineRule="auto"/>
        <w:ind w:firstLine="560" w:firstLineChars="200"/>
        <w:jc w:val="left"/>
        <w:rPr>
          <w:rFonts w:hint="eastAsia"/>
          <w:sz w:val="28"/>
          <w:szCs w:val="28"/>
          <w:lang w:val="en-US" w:eastAsia="zh-CN"/>
        </w:rPr>
      </w:pPr>
      <w:r>
        <w:rPr>
          <w:rFonts w:hint="eastAsia"/>
          <w:sz w:val="28"/>
          <w:szCs w:val="28"/>
          <w:lang w:val="en-US" w:eastAsia="zh-CN"/>
        </w:rPr>
        <w:t>1、专业实践的时长：</w:t>
      </w:r>
      <w:r>
        <w:rPr>
          <w:rFonts w:hint="eastAsia"/>
          <w:sz w:val="28"/>
          <w:szCs w:val="28"/>
        </w:rPr>
        <w:t>全日制图书情报专业学位研究生的专业实践实践不少于6个月。</w:t>
      </w:r>
      <w:r>
        <w:rPr>
          <w:rFonts w:hint="eastAsia"/>
          <w:sz w:val="28"/>
          <w:szCs w:val="28"/>
          <w:lang w:val="en-US" w:eastAsia="zh-CN"/>
        </w:rPr>
        <w:t>在图书馆内的日常实习时长视具体工作及部门要求灵活安排。馆内</w:t>
      </w:r>
      <w:r>
        <w:rPr>
          <w:rFonts w:hint="eastAsia"/>
          <w:sz w:val="28"/>
          <w:szCs w:val="28"/>
        </w:rPr>
        <w:t>集中实习</w:t>
      </w:r>
      <w:r>
        <w:rPr>
          <w:rFonts w:hint="eastAsia"/>
          <w:sz w:val="28"/>
          <w:szCs w:val="28"/>
          <w:lang w:val="en-US" w:eastAsia="zh-CN"/>
        </w:rPr>
        <w:t>时长不少于3个月，</w:t>
      </w:r>
      <w:r>
        <w:rPr>
          <w:rFonts w:hint="eastAsia"/>
          <w:sz w:val="28"/>
          <w:szCs w:val="28"/>
        </w:rPr>
        <w:t>校外实习单位实习</w:t>
      </w:r>
      <w:r>
        <w:rPr>
          <w:rFonts w:hint="eastAsia"/>
          <w:sz w:val="28"/>
          <w:szCs w:val="28"/>
          <w:lang w:val="en-US" w:eastAsia="zh-CN"/>
        </w:rPr>
        <w:t>时长不少于3个月。</w:t>
      </w:r>
    </w:p>
    <w:p>
      <w:pPr>
        <w:ind w:firstLine="560" w:firstLineChars="200"/>
        <w:rPr>
          <w:sz w:val="28"/>
          <w:szCs w:val="28"/>
        </w:rPr>
      </w:pPr>
      <w:r>
        <w:rPr>
          <w:rFonts w:hint="eastAsia"/>
          <w:sz w:val="28"/>
          <w:szCs w:val="28"/>
          <w:lang w:val="en-US" w:eastAsia="zh-CN"/>
        </w:rPr>
        <w:t>2、</w:t>
      </w:r>
      <w:r>
        <w:rPr>
          <w:rFonts w:hint="eastAsia"/>
          <w:sz w:val="28"/>
          <w:szCs w:val="28"/>
        </w:rPr>
        <w:t>全日制专业学位研究生的专业实践指导工作</w:t>
      </w:r>
      <w:r>
        <w:rPr>
          <w:rFonts w:hint="eastAsia"/>
          <w:sz w:val="28"/>
          <w:szCs w:val="28"/>
          <w:lang w:val="en-US" w:eastAsia="zh-CN"/>
        </w:rPr>
        <w:t>实行“双导师制”</w:t>
      </w:r>
      <w:r>
        <w:rPr>
          <w:rFonts w:hint="eastAsia"/>
          <w:sz w:val="28"/>
          <w:szCs w:val="28"/>
        </w:rPr>
        <w:t>，</w:t>
      </w:r>
      <w:r>
        <w:rPr>
          <w:rFonts w:hint="eastAsia"/>
          <w:sz w:val="28"/>
          <w:szCs w:val="28"/>
          <w:lang w:val="en-US" w:eastAsia="zh-CN"/>
        </w:rPr>
        <w:t>馆内日常实习期间由所在项目负责人担任实习项目时的实践指导教师，馆内集中实习期间由所实习的各个部门主任担任实习期间的实践指导教师，校外实习期间由所遴选的图书情报</w:t>
      </w:r>
      <w:r>
        <w:rPr>
          <w:rFonts w:hint="eastAsia"/>
          <w:sz w:val="28"/>
          <w:szCs w:val="28"/>
        </w:rPr>
        <w:t>专业学位校外兼职导师</w:t>
      </w:r>
      <w:r>
        <w:rPr>
          <w:rFonts w:hint="eastAsia"/>
          <w:sz w:val="28"/>
          <w:szCs w:val="28"/>
          <w:lang w:val="en-US" w:eastAsia="zh-CN"/>
        </w:rPr>
        <w:t>担任实践指导教师，</w:t>
      </w:r>
      <w:r>
        <w:rPr>
          <w:rFonts w:hint="eastAsia"/>
          <w:sz w:val="28"/>
          <w:szCs w:val="28"/>
        </w:rPr>
        <w:t>负责专业实践工作的具体落实</w:t>
      </w:r>
      <w:r>
        <w:rPr>
          <w:rFonts w:hint="eastAsia"/>
          <w:sz w:val="28"/>
          <w:szCs w:val="28"/>
          <w:lang w:eastAsia="zh-CN"/>
        </w:rPr>
        <w:t>。</w:t>
      </w:r>
      <w:r>
        <w:rPr>
          <w:rFonts w:hint="eastAsia"/>
          <w:sz w:val="28"/>
          <w:szCs w:val="28"/>
        </w:rPr>
        <w:t>全日制专业学位研究生的专业实践指导工作由校内导师、校外导师共同完成，双方导师商定执行专业实践计划的细则，分配专业实践任务。研究生在实践单位的专业实践主要依托校外导师指导进行。</w:t>
      </w:r>
    </w:p>
    <w:p>
      <w:pPr>
        <w:spacing w:line="360" w:lineRule="auto"/>
        <w:ind w:firstLine="560" w:firstLineChars="200"/>
        <w:jc w:val="left"/>
        <w:rPr>
          <w:rFonts w:hint="eastAsia"/>
          <w:sz w:val="28"/>
          <w:szCs w:val="28"/>
          <w:lang w:val="en-US" w:eastAsia="zh-CN"/>
        </w:rPr>
      </w:pPr>
      <w:r>
        <w:rPr>
          <w:rFonts w:hint="eastAsia"/>
          <w:sz w:val="28"/>
          <w:szCs w:val="28"/>
          <w:lang w:val="en-US" w:eastAsia="zh-CN"/>
        </w:rPr>
        <w:t>3、图书馆对全日制图书情报专业学位研究生的专业实践的考核，实行项目考核、部门考核、月度考核和总结考核。</w:t>
      </w:r>
    </w:p>
    <w:p>
      <w:pPr>
        <w:spacing w:line="360" w:lineRule="auto"/>
        <w:ind w:firstLine="560" w:firstLineChars="200"/>
        <w:jc w:val="left"/>
        <w:rPr>
          <w:rFonts w:hint="eastAsia"/>
          <w:sz w:val="28"/>
          <w:szCs w:val="28"/>
          <w:lang w:val="en-US" w:eastAsia="zh-CN"/>
        </w:rPr>
      </w:pPr>
      <w:r>
        <w:rPr>
          <w:rFonts w:hint="eastAsia"/>
          <w:sz w:val="28"/>
          <w:szCs w:val="28"/>
          <w:lang w:val="en-US" w:eastAsia="zh-CN"/>
        </w:rPr>
        <w:t>（1）研究生在实践期间应严格遵守实践基地所在单位的相关规定；馆内、校外实践均需按项目、月度、实习单位分别填写《全日制图书情报硕士实践活动手册》（表4,5）。</w:t>
      </w:r>
    </w:p>
    <w:p>
      <w:pPr>
        <w:spacing w:line="360" w:lineRule="auto"/>
        <w:ind w:firstLine="560" w:firstLineChars="200"/>
        <w:jc w:val="left"/>
        <w:rPr>
          <w:rFonts w:hint="eastAsia"/>
          <w:sz w:val="28"/>
          <w:szCs w:val="28"/>
          <w:lang w:val="en-US" w:eastAsia="zh-CN"/>
        </w:rPr>
      </w:pPr>
      <w:r>
        <w:rPr>
          <w:rFonts w:hint="eastAsia"/>
          <w:sz w:val="28"/>
          <w:szCs w:val="28"/>
          <w:lang w:val="en-US" w:eastAsia="zh-CN"/>
        </w:rPr>
        <w:t>（2）研究生应于馆内、校外专业实践结束后的一个月内分别提交《全日制图书情报硕士实践活动手册》，考核成绩分为优秀、及格、不及格。专业实践考核成绩由考勤考核、班内成员互相评价、实习指导教师评价以及图书馆“专业实践工作考核小组”评价四部分组成。汇总成绩前20%学生评为优秀；分数高于60分，为及格；低于60分，不及格，须重新参加专业实践。</w:t>
      </w:r>
    </w:p>
    <w:p>
      <w:pPr>
        <w:numPr>
          <w:ilvl w:val="0"/>
          <w:numId w:val="1"/>
        </w:numPr>
        <w:spacing w:line="360" w:lineRule="auto"/>
        <w:ind w:left="0" w:leftChars="0" w:firstLine="560" w:firstLineChars="200"/>
        <w:jc w:val="left"/>
        <w:rPr>
          <w:rFonts w:hint="eastAsia"/>
          <w:sz w:val="28"/>
          <w:szCs w:val="28"/>
          <w:lang w:val="en-US" w:eastAsia="zh-CN"/>
        </w:rPr>
      </w:pPr>
      <w:r>
        <w:rPr>
          <w:rFonts w:hint="eastAsia"/>
          <w:sz w:val="28"/>
          <w:szCs w:val="28"/>
          <w:lang w:val="en-US" w:eastAsia="zh-CN"/>
        </w:rPr>
        <w:t>考勤考核：根据学生实习期间的出勤情况进行考核，占评价成绩的10%。全勤:10分；缺勤未超过两天的:8-9分；缺勤超过两天的:5分以下。</w:t>
      </w:r>
    </w:p>
    <w:p>
      <w:pPr>
        <w:numPr>
          <w:ilvl w:val="0"/>
          <w:numId w:val="1"/>
        </w:numPr>
        <w:spacing w:line="360" w:lineRule="auto"/>
        <w:ind w:left="0" w:leftChars="0" w:firstLine="560" w:firstLineChars="200"/>
        <w:jc w:val="left"/>
        <w:rPr>
          <w:rFonts w:hint="eastAsia"/>
          <w:sz w:val="28"/>
          <w:szCs w:val="28"/>
          <w:lang w:val="en-US" w:eastAsia="zh-CN"/>
        </w:rPr>
      </w:pPr>
      <w:r>
        <w:rPr>
          <w:rFonts w:hint="eastAsia"/>
          <w:sz w:val="28"/>
          <w:szCs w:val="28"/>
          <w:lang w:val="en-US" w:eastAsia="zh-CN"/>
        </w:rPr>
        <w:t>班内成员互相评价：可以从纪律、参与情况、组内成员协调情况、工作态度、业务能力等方面进行匿名评价，分值占总成绩的10%。</w:t>
      </w:r>
    </w:p>
    <w:p>
      <w:pPr>
        <w:numPr>
          <w:ilvl w:val="0"/>
          <w:numId w:val="1"/>
        </w:numPr>
        <w:spacing w:line="360" w:lineRule="auto"/>
        <w:ind w:left="0" w:leftChars="0" w:firstLine="560" w:firstLineChars="200"/>
        <w:jc w:val="left"/>
        <w:rPr>
          <w:rFonts w:hint="eastAsia"/>
          <w:sz w:val="28"/>
          <w:szCs w:val="28"/>
          <w:lang w:val="en-US" w:eastAsia="zh-CN"/>
        </w:rPr>
      </w:pPr>
      <w:r>
        <w:rPr>
          <w:rFonts w:hint="eastAsia"/>
          <w:sz w:val="28"/>
          <w:szCs w:val="28"/>
          <w:lang w:val="en-US" w:eastAsia="zh-CN"/>
        </w:rPr>
        <w:t>实习指导教师评价：根据学生在实习过程中的专业技能、工作态度、工作纪律等对其实习情况进行评定，取馆内各部门实习指导教师以及校外实习指导教师评分的平均值，实习指导教师评价分值占总成绩的40%。</w:t>
      </w:r>
    </w:p>
    <w:p>
      <w:pPr>
        <w:numPr>
          <w:ilvl w:val="0"/>
          <w:numId w:val="1"/>
        </w:numPr>
        <w:spacing w:line="360" w:lineRule="auto"/>
        <w:ind w:left="0" w:leftChars="0" w:firstLine="560" w:firstLineChars="200"/>
        <w:jc w:val="left"/>
        <w:rPr>
          <w:rFonts w:hint="eastAsia"/>
          <w:sz w:val="28"/>
          <w:szCs w:val="28"/>
        </w:rPr>
      </w:pPr>
      <w:r>
        <w:rPr>
          <w:rFonts w:hint="eastAsia"/>
          <w:sz w:val="28"/>
          <w:szCs w:val="28"/>
          <w:lang w:val="en-US" w:eastAsia="zh-CN"/>
        </w:rPr>
        <w:t>图书馆“专业实践工作考核小组”评价：“专业实践工作考核小组”根据学生“专业实践活动手册”，结合学生实习总结、阶段汇报，分期检查情况对学生实习情况进行评定，分值占总成绩的40%。</w:t>
      </w:r>
    </w:p>
    <w:p>
      <w:pPr>
        <w:spacing w:line="360" w:lineRule="auto"/>
        <w:ind w:firstLine="560" w:firstLineChars="200"/>
        <w:jc w:val="left"/>
        <w:rPr>
          <w:rFonts w:hint="eastAsia"/>
          <w:sz w:val="28"/>
          <w:szCs w:val="28"/>
        </w:rPr>
      </w:pPr>
      <w:r>
        <w:rPr>
          <w:rFonts w:hint="eastAsia"/>
          <w:sz w:val="28"/>
          <w:szCs w:val="28"/>
          <w:lang w:eastAsia="zh-CN"/>
        </w:rPr>
        <w:t>（</w:t>
      </w:r>
      <w:r>
        <w:rPr>
          <w:rFonts w:hint="eastAsia"/>
          <w:sz w:val="28"/>
          <w:szCs w:val="28"/>
          <w:lang w:val="en-US" w:eastAsia="zh-CN"/>
        </w:rPr>
        <w:t>3</w:t>
      </w:r>
      <w:r>
        <w:rPr>
          <w:rFonts w:hint="eastAsia"/>
          <w:sz w:val="28"/>
          <w:szCs w:val="28"/>
          <w:lang w:eastAsia="zh-CN"/>
        </w:rPr>
        <w:t>）</w:t>
      </w:r>
      <w:r>
        <w:rPr>
          <w:rFonts w:hint="eastAsia"/>
          <w:sz w:val="28"/>
          <w:szCs w:val="28"/>
        </w:rPr>
        <w:t>专业实践成绩不及格者，</w:t>
      </w:r>
      <w:bookmarkStart w:id="0" w:name="_GoBack"/>
      <w:bookmarkEnd w:id="0"/>
      <w:r>
        <w:rPr>
          <w:rFonts w:hint="eastAsia"/>
          <w:sz w:val="28"/>
          <w:szCs w:val="28"/>
        </w:rPr>
        <w:t>须重新参加专业实践，费用自理。凡未参加专业实践或专业实践成绩不及格者，不准毕业。全日制专业学位研究生专业实践成绩记入成绩档案。</w:t>
      </w:r>
    </w:p>
    <w:p>
      <w:pPr>
        <w:spacing w:line="360" w:lineRule="auto"/>
        <w:ind w:firstLine="562" w:firstLineChars="200"/>
        <w:jc w:val="left"/>
        <w:rPr>
          <w:rFonts w:hint="eastAsia"/>
          <w:b/>
          <w:sz w:val="28"/>
          <w:szCs w:val="28"/>
          <w:lang w:val="en-US" w:eastAsia="zh-CN"/>
        </w:rPr>
      </w:pPr>
      <w:r>
        <w:rPr>
          <w:rFonts w:hint="eastAsia"/>
          <w:b/>
          <w:sz w:val="28"/>
          <w:szCs w:val="28"/>
          <w:lang w:val="en-US" w:eastAsia="zh-CN"/>
        </w:rPr>
        <w:t>五</w:t>
      </w:r>
      <w:r>
        <w:rPr>
          <w:rFonts w:hint="eastAsia"/>
          <w:b/>
          <w:sz w:val="28"/>
          <w:szCs w:val="28"/>
        </w:rPr>
        <w:t>、</w:t>
      </w:r>
      <w:r>
        <w:rPr>
          <w:rFonts w:hint="eastAsia"/>
          <w:b/>
          <w:sz w:val="28"/>
          <w:szCs w:val="28"/>
          <w:lang w:val="en-US" w:eastAsia="zh-CN"/>
        </w:rPr>
        <w:t>附则</w:t>
      </w:r>
    </w:p>
    <w:p>
      <w:pPr>
        <w:spacing w:line="360" w:lineRule="auto"/>
        <w:ind w:firstLine="560" w:firstLineChars="200"/>
        <w:jc w:val="left"/>
        <w:rPr>
          <w:rFonts w:hint="eastAsia"/>
          <w:sz w:val="28"/>
          <w:szCs w:val="28"/>
          <w:lang w:val="en-US" w:eastAsia="zh-CN"/>
        </w:rPr>
      </w:pPr>
      <w:r>
        <w:rPr>
          <w:rFonts w:hint="eastAsia"/>
          <w:sz w:val="28"/>
          <w:szCs w:val="28"/>
          <w:lang w:val="en-US" w:eastAsia="zh-CN"/>
        </w:rPr>
        <w:t>以上规定未尽事宜，以学校相关规定为准。</w:t>
      </w:r>
    </w:p>
    <w:p>
      <w:pPr>
        <w:rPr>
          <w:rFonts w:hint="default"/>
          <w:b w:val="0"/>
          <w:bCs/>
          <w:sz w:val="28"/>
          <w:szCs w:val="28"/>
          <w:lang w:val="en-US" w:eastAsia="zh-CN"/>
        </w:rPr>
      </w:pPr>
      <w:r>
        <w:rPr>
          <w:rFonts w:hint="eastAsia"/>
          <w:b w:val="0"/>
          <w:bCs/>
          <w:sz w:val="28"/>
          <w:szCs w:val="28"/>
          <w:lang w:val="en-US" w:eastAsia="zh-CN"/>
        </w:rPr>
        <w:br w:type="page"/>
      </w:r>
      <w:r>
        <w:rPr>
          <w:rFonts w:hint="eastAsia"/>
          <w:b w:val="0"/>
          <w:bCs/>
          <w:sz w:val="28"/>
          <w:szCs w:val="28"/>
          <w:lang w:val="en-US" w:eastAsia="zh-CN"/>
        </w:rPr>
        <w:t xml:space="preserve"> </w:t>
      </w:r>
    </w:p>
    <w:p>
      <w:pPr>
        <w:jc w:val="center"/>
        <w:rPr>
          <w:rFonts w:hint="default" w:ascii="Calibri" w:hAnsi="Calibri" w:eastAsia="宋体" w:cs="Times New Roman"/>
          <w:sz w:val="36"/>
          <w:szCs w:val="36"/>
          <w:vertAlign w:val="baseline"/>
          <w:lang w:val="en-US" w:eastAsia="zh-CN"/>
        </w:rPr>
      </w:pPr>
      <w:r>
        <w:rPr>
          <w:rFonts w:hint="eastAsia" w:ascii="Calibri" w:hAnsi="Calibri" w:eastAsia="宋体" w:cs="Times New Roman"/>
          <w:sz w:val="36"/>
          <w:szCs w:val="36"/>
          <w:lang w:val="en-US" w:eastAsia="zh-CN"/>
        </w:rPr>
        <w:t>附表1：班内成员互相评价表</w:t>
      </w:r>
    </w:p>
    <w:tbl>
      <w:tblPr>
        <w:tblStyle w:val="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861"/>
        <w:gridCol w:w="1723"/>
        <w:gridCol w:w="1408"/>
        <w:gridCol w:w="1477"/>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tcPr>
          <w:p>
            <w:pPr>
              <w:rPr>
                <w:rFonts w:hint="default" w:ascii="Calibri" w:hAnsi="Calibri" w:eastAsia="宋体" w:cs="Times New Roman"/>
                <w:sz w:val="28"/>
                <w:szCs w:val="28"/>
                <w:vertAlign w:val="baseline"/>
                <w:lang w:val="en-US" w:eastAsia="zh-CN"/>
              </w:rPr>
            </w:pPr>
            <w:r>
              <w:rPr>
                <w:rFonts w:hint="eastAsia" w:ascii="Calibri" w:hAnsi="Calibri" w:eastAsia="宋体" w:cs="Times New Roman"/>
                <w:sz w:val="28"/>
                <w:szCs w:val="28"/>
                <w:vertAlign w:val="baseline"/>
                <w:lang w:val="en-US" w:eastAsia="zh-CN"/>
              </w:rPr>
              <w:t>姓名</w:t>
            </w:r>
          </w:p>
        </w:tc>
        <w:tc>
          <w:tcPr>
            <w:tcW w:w="1092" w:type="pct"/>
          </w:tcPr>
          <w:p>
            <w:pPr>
              <w:rPr>
                <w:rFonts w:hint="default" w:ascii="Calibri" w:hAnsi="Calibri" w:eastAsia="宋体" w:cs="Times New Roman"/>
                <w:sz w:val="28"/>
                <w:szCs w:val="28"/>
                <w:vertAlign w:val="baseline"/>
                <w:lang w:val="en-US" w:eastAsia="zh-CN"/>
              </w:rPr>
            </w:pPr>
            <w:r>
              <w:rPr>
                <w:rFonts w:hint="eastAsia" w:ascii="Calibri" w:hAnsi="Calibri" w:eastAsia="宋体" w:cs="Times New Roman"/>
                <w:sz w:val="28"/>
                <w:szCs w:val="28"/>
                <w:vertAlign w:val="baseline"/>
                <w:lang w:val="en-US" w:eastAsia="zh-CN"/>
              </w:rPr>
              <w:t>纪律、实习参与（2.5分）</w:t>
            </w:r>
          </w:p>
        </w:tc>
        <w:tc>
          <w:tcPr>
            <w:tcW w:w="1011" w:type="pct"/>
          </w:tcPr>
          <w:p>
            <w:pPr>
              <w:rPr>
                <w:rFonts w:hint="default" w:ascii="Calibri" w:hAnsi="Calibri" w:eastAsia="宋体" w:cs="Times New Roman"/>
                <w:sz w:val="28"/>
                <w:szCs w:val="28"/>
                <w:vertAlign w:val="baseline"/>
                <w:lang w:val="en-US" w:eastAsia="zh-CN"/>
              </w:rPr>
            </w:pPr>
            <w:r>
              <w:rPr>
                <w:rFonts w:hint="eastAsia" w:ascii="Calibri" w:hAnsi="Calibri" w:eastAsia="宋体" w:cs="Times New Roman"/>
                <w:sz w:val="28"/>
                <w:szCs w:val="28"/>
                <w:vertAlign w:val="baseline"/>
                <w:lang w:val="en-US" w:eastAsia="zh-CN"/>
              </w:rPr>
              <w:t>组内成员协调（2.5分）</w:t>
            </w:r>
          </w:p>
        </w:tc>
        <w:tc>
          <w:tcPr>
            <w:tcW w:w="826" w:type="pct"/>
          </w:tcPr>
          <w:p>
            <w:pPr>
              <w:rPr>
                <w:rFonts w:hint="default" w:ascii="Calibri" w:hAnsi="Calibri" w:eastAsia="宋体" w:cs="Times New Roman"/>
                <w:sz w:val="28"/>
                <w:szCs w:val="28"/>
                <w:vertAlign w:val="baseline"/>
                <w:lang w:val="en-US" w:eastAsia="zh-CN"/>
              </w:rPr>
            </w:pPr>
            <w:r>
              <w:rPr>
                <w:rFonts w:hint="eastAsia" w:ascii="Calibri" w:hAnsi="Calibri" w:eastAsia="宋体" w:cs="Times New Roman"/>
                <w:sz w:val="28"/>
                <w:szCs w:val="28"/>
                <w:vertAlign w:val="baseline"/>
                <w:lang w:val="en-US" w:eastAsia="zh-CN"/>
              </w:rPr>
              <w:t>工作态度（2.5分）</w:t>
            </w:r>
          </w:p>
        </w:tc>
        <w:tc>
          <w:tcPr>
            <w:tcW w:w="867" w:type="pct"/>
          </w:tcPr>
          <w:p>
            <w:pPr>
              <w:rPr>
                <w:rFonts w:hint="default" w:ascii="Calibri" w:hAnsi="Calibri" w:eastAsia="宋体" w:cs="Times New Roman"/>
                <w:sz w:val="28"/>
                <w:szCs w:val="28"/>
                <w:vertAlign w:val="baseline"/>
                <w:lang w:val="en-US" w:eastAsia="zh-CN"/>
              </w:rPr>
            </w:pPr>
            <w:r>
              <w:rPr>
                <w:rFonts w:hint="eastAsia" w:ascii="Calibri" w:hAnsi="Calibri" w:eastAsia="宋体" w:cs="Times New Roman"/>
                <w:sz w:val="28"/>
                <w:szCs w:val="28"/>
                <w:vertAlign w:val="baseline"/>
                <w:lang w:val="en-US" w:eastAsia="zh-CN"/>
              </w:rPr>
              <w:t>业务能力（2.5分）</w:t>
            </w:r>
          </w:p>
        </w:tc>
        <w:tc>
          <w:tcPr>
            <w:tcW w:w="792" w:type="pct"/>
          </w:tcPr>
          <w:p>
            <w:pPr>
              <w:rPr>
                <w:rFonts w:hint="default" w:ascii="Calibri" w:hAnsi="Calibri" w:eastAsia="宋体" w:cs="Times New Roman"/>
                <w:sz w:val="28"/>
                <w:szCs w:val="28"/>
                <w:vertAlign w:val="baseline"/>
                <w:lang w:val="en-US" w:eastAsia="zh-CN"/>
              </w:rPr>
            </w:pPr>
            <w:r>
              <w:rPr>
                <w:rFonts w:hint="eastAsia" w:ascii="Calibri" w:hAnsi="Calibri" w:eastAsia="宋体" w:cs="Times New Roman"/>
                <w:sz w:val="28"/>
                <w:szCs w:val="28"/>
                <w:vertAlign w:val="baseline"/>
                <w:lang w:val="en-US" w:eastAsia="zh-CN"/>
              </w:rPr>
              <w:t>总分（共10分）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tcPr>
          <w:p>
            <w:pPr>
              <w:rPr>
                <w:rFonts w:hint="default" w:ascii="Calibri" w:hAnsi="Calibri" w:eastAsia="宋体" w:cs="Times New Roman"/>
                <w:sz w:val="28"/>
                <w:szCs w:val="28"/>
                <w:vertAlign w:val="baseline"/>
                <w:lang w:val="en-US" w:eastAsia="zh-CN"/>
              </w:rPr>
            </w:pPr>
            <w:r>
              <w:rPr>
                <w:rFonts w:hint="default" w:ascii="Arial" w:hAnsi="Arial" w:eastAsia="宋体" w:cs="Arial"/>
                <w:sz w:val="28"/>
                <w:szCs w:val="28"/>
                <w:vertAlign w:val="baseline"/>
                <w:lang w:val="en-US" w:eastAsia="zh-CN"/>
              </w:rPr>
              <w:t>××</w:t>
            </w:r>
          </w:p>
        </w:tc>
        <w:tc>
          <w:tcPr>
            <w:tcW w:w="1092" w:type="pct"/>
          </w:tcPr>
          <w:p>
            <w:pPr>
              <w:rPr>
                <w:rFonts w:hint="default" w:ascii="Calibri" w:hAnsi="Calibri" w:eastAsia="宋体" w:cs="Times New Roman"/>
                <w:sz w:val="28"/>
                <w:szCs w:val="28"/>
                <w:vertAlign w:val="baseline"/>
                <w:lang w:val="en-US" w:eastAsia="zh-CN"/>
              </w:rPr>
            </w:pPr>
          </w:p>
        </w:tc>
        <w:tc>
          <w:tcPr>
            <w:tcW w:w="1011" w:type="pct"/>
          </w:tcPr>
          <w:p>
            <w:pPr>
              <w:rPr>
                <w:rFonts w:hint="default" w:ascii="Calibri" w:hAnsi="Calibri" w:eastAsia="宋体" w:cs="Times New Roman"/>
                <w:sz w:val="28"/>
                <w:szCs w:val="28"/>
                <w:vertAlign w:val="baseline"/>
                <w:lang w:val="en-US" w:eastAsia="zh-CN"/>
              </w:rPr>
            </w:pPr>
          </w:p>
        </w:tc>
        <w:tc>
          <w:tcPr>
            <w:tcW w:w="826" w:type="pct"/>
          </w:tcPr>
          <w:p>
            <w:pPr>
              <w:rPr>
                <w:rFonts w:hint="default" w:ascii="Calibri" w:hAnsi="Calibri" w:eastAsia="宋体" w:cs="Times New Roman"/>
                <w:sz w:val="28"/>
                <w:szCs w:val="28"/>
                <w:vertAlign w:val="baseline"/>
                <w:lang w:val="en-US" w:eastAsia="zh-CN"/>
              </w:rPr>
            </w:pPr>
          </w:p>
        </w:tc>
        <w:tc>
          <w:tcPr>
            <w:tcW w:w="867" w:type="pct"/>
          </w:tcPr>
          <w:p>
            <w:pPr>
              <w:rPr>
                <w:rFonts w:hint="default" w:ascii="Calibri" w:hAnsi="Calibri" w:eastAsia="宋体" w:cs="Times New Roman"/>
                <w:sz w:val="28"/>
                <w:szCs w:val="28"/>
                <w:vertAlign w:val="baseline"/>
                <w:lang w:val="en-US" w:eastAsia="zh-CN"/>
              </w:rPr>
            </w:pPr>
          </w:p>
        </w:tc>
        <w:tc>
          <w:tcPr>
            <w:tcW w:w="792" w:type="pct"/>
          </w:tcPr>
          <w:p>
            <w:pPr>
              <w:rPr>
                <w:rFonts w:hint="default" w:ascii="Calibri" w:hAnsi="Calibri" w:eastAsia="宋体"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tcPr>
          <w:p>
            <w:pPr>
              <w:rPr>
                <w:rFonts w:hint="default" w:ascii="Calibri" w:hAnsi="Calibri" w:eastAsia="宋体" w:cs="Times New Roman"/>
                <w:sz w:val="28"/>
                <w:szCs w:val="28"/>
                <w:vertAlign w:val="baseline"/>
                <w:lang w:val="en-US" w:eastAsia="zh-CN"/>
              </w:rPr>
            </w:pPr>
          </w:p>
        </w:tc>
        <w:tc>
          <w:tcPr>
            <w:tcW w:w="1092" w:type="pct"/>
          </w:tcPr>
          <w:p>
            <w:pPr>
              <w:rPr>
                <w:rFonts w:hint="default" w:ascii="Calibri" w:hAnsi="Calibri" w:eastAsia="宋体" w:cs="Times New Roman"/>
                <w:sz w:val="28"/>
                <w:szCs w:val="28"/>
                <w:vertAlign w:val="baseline"/>
                <w:lang w:val="en-US" w:eastAsia="zh-CN"/>
              </w:rPr>
            </w:pPr>
          </w:p>
        </w:tc>
        <w:tc>
          <w:tcPr>
            <w:tcW w:w="1011" w:type="pct"/>
          </w:tcPr>
          <w:p>
            <w:pPr>
              <w:rPr>
                <w:rFonts w:hint="default" w:ascii="Calibri" w:hAnsi="Calibri" w:eastAsia="宋体" w:cs="Times New Roman"/>
                <w:sz w:val="28"/>
                <w:szCs w:val="28"/>
                <w:vertAlign w:val="baseline"/>
                <w:lang w:val="en-US" w:eastAsia="zh-CN"/>
              </w:rPr>
            </w:pPr>
          </w:p>
        </w:tc>
        <w:tc>
          <w:tcPr>
            <w:tcW w:w="826" w:type="pct"/>
          </w:tcPr>
          <w:p>
            <w:pPr>
              <w:rPr>
                <w:rFonts w:hint="default" w:ascii="Calibri" w:hAnsi="Calibri" w:eastAsia="宋体" w:cs="Times New Roman"/>
                <w:sz w:val="28"/>
                <w:szCs w:val="28"/>
                <w:vertAlign w:val="baseline"/>
                <w:lang w:val="en-US" w:eastAsia="zh-CN"/>
              </w:rPr>
            </w:pPr>
          </w:p>
        </w:tc>
        <w:tc>
          <w:tcPr>
            <w:tcW w:w="867" w:type="pct"/>
          </w:tcPr>
          <w:p>
            <w:pPr>
              <w:rPr>
                <w:rFonts w:hint="default" w:ascii="Calibri" w:hAnsi="Calibri" w:eastAsia="宋体" w:cs="Times New Roman"/>
                <w:sz w:val="28"/>
                <w:szCs w:val="28"/>
                <w:vertAlign w:val="baseline"/>
                <w:lang w:val="en-US" w:eastAsia="zh-CN"/>
              </w:rPr>
            </w:pPr>
          </w:p>
        </w:tc>
        <w:tc>
          <w:tcPr>
            <w:tcW w:w="792" w:type="pct"/>
          </w:tcPr>
          <w:p>
            <w:pPr>
              <w:rPr>
                <w:rFonts w:hint="default" w:ascii="Calibri" w:hAnsi="Calibri" w:eastAsia="宋体"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tcPr>
          <w:p>
            <w:pPr>
              <w:rPr>
                <w:rFonts w:hint="default" w:ascii="Calibri" w:hAnsi="Calibri" w:eastAsia="宋体" w:cs="Times New Roman"/>
                <w:sz w:val="28"/>
                <w:szCs w:val="28"/>
                <w:vertAlign w:val="baseline"/>
                <w:lang w:val="en-US" w:eastAsia="zh-CN"/>
              </w:rPr>
            </w:pPr>
          </w:p>
        </w:tc>
        <w:tc>
          <w:tcPr>
            <w:tcW w:w="1092" w:type="pct"/>
          </w:tcPr>
          <w:p>
            <w:pPr>
              <w:rPr>
                <w:rFonts w:hint="default" w:ascii="Calibri" w:hAnsi="Calibri" w:eastAsia="宋体" w:cs="Times New Roman"/>
                <w:sz w:val="28"/>
                <w:szCs w:val="28"/>
                <w:vertAlign w:val="baseline"/>
                <w:lang w:val="en-US" w:eastAsia="zh-CN"/>
              </w:rPr>
            </w:pPr>
          </w:p>
        </w:tc>
        <w:tc>
          <w:tcPr>
            <w:tcW w:w="1011" w:type="pct"/>
          </w:tcPr>
          <w:p>
            <w:pPr>
              <w:rPr>
                <w:rFonts w:hint="default" w:ascii="Calibri" w:hAnsi="Calibri" w:eastAsia="宋体" w:cs="Times New Roman"/>
                <w:sz w:val="28"/>
                <w:szCs w:val="28"/>
                <w:vertAlign w:val="baseline"/>
                <w:lang w:val="en-US" w:eastAsia="zh-CN"/>
              </w:rPr>
            </w:pPr>
          </w:p>
        </w:tc>
        <w:tc>
          <w:tcPr>
            <w:tcW w:w="826" w:type="pct"/>
          </w:tcPr>
          <w:p>
            <w:pPr>
              <w:rPr>
                <w:rFonts w:hint="default" w:ascii="Calibri" w:hAnsi="Calibri" w:eastAsia="宋体" w:cs="Times New Roman"/>
                <w:sz w:val="28"/>
                <w:szCs w:val="28"/>
                <w:vertAlign w:val="baseline"/>
                <w:lang w:val="en-US" w:eastAsia="zh-CN"/>
              </w:rPr>
            </w:pPr>
          </w:p>
        </w:tc>
        <w:tc>
          <w:tcPr>
            <w:tcW w:w="867" w:type="pct"/>
          </w:tcPr>
          <w:p>
            <w:pPr>
              <w:rPr>
                <w:rFonts w:hint="default" w:ascii="Calibri" w:hAnsi="Calibri" w:eastAsia="宋体" w:cs="Times New Roman"/>
                <w:sz w:val="28"/>
                <w:szCs w:val="28"/>
                <w:vertAlign w:val="baseline"/>
                <w:lang w:val="en-US" w:eastAsia="zh-CN"/>
              </w:rPr>
            </w:pPr>
          </w:p>
        </w:tc>
        <w:tc>
          <w:tcPr>
            <w:tcW w:w="792" w:type="pct"/>
          </w:tcPr>
          <w:p>
            <w:pPr>
              <w:rPr>
                <w:rFonts w:hint="default" w:ascii="Calibri" w:hAnsi="Calibri" w:eastAsia="宋体"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tcPr>
          <w:p>
            <w:pPr>
              <w:rPr>
                <w:rFonts w:hint="default" w:ascii="Calibri" w:hAnsi="Calibri" w:eastAsia="宋体" w:cs="Times New Roman"/>
                <w:sz w:val="28"/>
                <w:szCs w:val="28"/>
                <w:vertAlign w:val="baseline"/>
                <w:lang w:val="en-US" w:eastAsia="zh-CN"/>
              </w:rPr>
            </w:pPr>
          </w:p>
        </w:tc>
        <w:tc>
          <w:tcPr>
            <w:tcW w:w="1092" w:type="pct"/>
          </w:tcPr>
          <w:p>
            <w:pPr>
              <w:rPr>
                <w:rFonts w:hint="default" w:ascii="Calibri" w:hAnsi="Calibri" w:eastAsia="宋体" w:cs="Times New Roman"/>
                <w:sz w:val="28"/>
                <w:szCs w:val="28"/>
                <w:vertAlign w:val="baseline"/>
                <w:lang w:val="en-US" w:eastAsia="zh-CN"/>
              </w:rPr>
            </w:pPr>
          </w:p>
        </w:tc>
        <w:tc>
          <w:tcPr>
            <w:tcW w:w="1011" w:type="pct"/>
          </w:tcPr>
          <w:p>
            <w:pPr>
              <w:rPr>
                <w:rFonts w:hint="default" w:ascii="Calibri" w:hAnsi="Calibri" w:eastAsia="宋体" w:cs="Times New Roman"/>
                <w:sz w:val="28"/>
                <w:szCs w:val="28"/>
                <w:vertAlign w:val="baseline"/>
                <w:lang w:val="en-US" w:eastAsia="zh-CN"/>
              </w:rPr>
            </w:pPr>
          </w:p>
        </w:tc>
        <w:tc>
          <w:tcPr>
            <w:tcW w:w="826" w:type="pct"/>
          </w:tcPr>
          <w:p>
            <w:pPr>
              <w:rPr>
                <w:rFonts w:hint="default" w:ascii="Calibri" w:hAnsi="Calibri" w:eastAsia="宋体" w:cs="Times New Roman"/>
                <w:sz w:val="28"/>
                <w:szCs w:val="28"/>
                <w:vertAlign w:val="baseline"/>
                <w:lang w:val="en-US" w:eastAsia="zh-CN"/>
              </w:rPr>
            </w:pPr>
          </w:p>
        </w:tc>
        <w:tc>
          <w:tcPr>
            <w:tcW w:w="867" w:type="pct"/>
          </w:tcPr>
          <w:p>
            <w:pPr>
              <w:rPr>
                <w:rFonts w:hint="default" w:ascii="Calibri" w:hAnsi="Calibri" w:eastAsia="宋体" w:cs="Times New Roman"/>
                <w:sz w:val="28"/>
                <w:szCs w:val="28"/>
                <w:vertAlign w:val="baseline"/>
                <w:lang w:val="en-US" w:eastAsia="zh-CN"/>
              </w:rPr>
            </w:pPr>
          </w:p>
        </w:tc>
        <w:tc>
          <w:tcPr>
            <w:tcW w:w="792" w:type="pct"/>
          </w:tcPr>
          <w:p>
            <w:pPr>
              <w:rPr>
                <w:rFonts w:hint="default" w:ascii="Calibri" w:hAnsi="Calibri" w:eastAsia="宋体" w:cs="Times New Roman"/>
                <w:sz w:val="28"/>
                <w:szCs w:val="28"/>
                <w:vertAlign w:val="baseline"/>
                <w:lang w:val="en-US" w:eastAsia="zh-CN"/>
              </w:rPr>
            </w:pPr>
          </w:p>
        </w:tc>
      </w:tr>
    </w:tbl>
    <w:p>
      <w:pPr>
        <w:rPr>
          <w:rFonts w:hint="default" w:ascii="Calibri" w:hAnsi="Calibri" w:eastAsia="宋体" w:cs="Times New Roman"/>
          <w:szCs w:val="24"/>
          <w:lang w:val="en-US" w:eastAsia="zh-CN"/>
        </w:rPr>
      </w:pPr>
    </w:p>
    <w:p>
      <w:pPr>
        <w:rPr>
          <w:rFonts w:hint="default" w:ascii="Calibri" w:hAnsi="Calibri" w:eastAsia="宋体" w:cs="Times New Roman"/>
          <w:szCs w:val="24"/>
          <w:lang w:val="en-US" w:eastAsia="zh-CN"/>
        </w:rPr>
      </w:pPr>
    </w:p>
    <w:p>
      <w:pPr>
        <w:rPr>
          <w:rFonts w:hint="eastAsia"/>
          <w:b w:val="0"/>
          <w:bCs/>
          <w:sz w:val="28"/>
          <w:szCs w:val="28"/>
          <w:lang w:val="en-US" w:eastAsia="zh-CN"/>
        </w:rPr>
      </w:pPr>
      <w:r>
        <w:rPr>
          <w:rFonts w:hint="eastAsia"/>
          <w:b w:val="0"/>
          <w:bCs/>
          <w:sz w:val="28"/>
          <w:szCs w:val="28"/>
          <w:lang w:val="en-US" w:eastAsia="zh-CN"/>
        </w:rPr>
        <w:br w:type="page"/>
      </w:r>
    </w:p>
    <w:p>
      <w:pPr>
        <w:jc w:val="center"/>
        <w:rPr>
          <w:rFonts w:hint="eastAsia" w:ascii="Calibri" w:hAnsi="Calibri" w:eastAsia="宋体" w:cs="Times New Roman"/>
          <w:sz w:val="36"/>
          <w:szCs w:val="36"/>
          <w:lang w:val="en-US" w:eastAsia="zh-CN"/>
        </w:rPr>
      </w:pPr>
      <w:r>
        <w:rPr>
          <w:rFonts w:hint="eastAsia" w:ascii="Calibri" w:hAnsi="Calibri" w:eastAsia="宋体" w:cs="Times New Roman"/>
          <w:sz w:val="36"/>
          <w:szCs w:val="36"/>
          <w:lang w:val="en-US" w:eastAsia="zh-CN"/>
        </w:rPr>
        <w:t>附表2：实习指导教师评价表</w:t>
      </w:r>
    </w:p>
    <w:tbl>
      <w:tblPr>
        <w:tblStyle w:val="3"/>
        <w:tblpPr w:leftFromText="180" w:rightFromText="180" w:vertAnchor="text" w:horzAnchor="page" w:tblpX="1046" w:tblpY="162"/>
        <w:tblOverlap w:val="never"/>
        <w:tblW w:w="585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387"/>
        <w:gridCol w:w="803"/>
        <w:gridCol w:w="1717"/>
        <w:gridCol w:w="1545"/>
        <w:gridCol w:w="2873"/>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vMerge w:val="restart"/>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学生填写</w:t>
            </w:r>
          </w:p>
        </w:tc>
        <w:tc>
          <w:tcPr>
            <w:tcW w:w="695" w:type="pct"/>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学生姓名</w:t>
            </w:r>
          </w:p>
        </w:tc>
        <w:tc>
          <w:tcPr>
            <w:tcW w:w="1263" w:type="pct"/>
            <w:gridSpan w:val="2"/>
          </w:tcPr>
          <w:p>
            <w:pPr>
              <w:jc w:val="center"/>
              <w:rPr>
                <w:rFonts w:hint="eastAsia" w:ascii="宋体" w:hAnsi="宋体" w:eastAsia="宋体" w:cs="宋体"/>
                <w:sz w:val="28"/>
                <w:szCs w:val="28"/>
                <w:vertAlign w:val="baseline"/>
                <w:lang w:val="en-US" w:eastAsia="zh-CN"/>
              </w:rPr>
            </w:pPr>
          </w:p>
        </w:tc>
        <w:tc>
          <w:tcPr>
            <w:tcW w:w="774" w:type="pct"/>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学号</w:t>
            </w:r>
          </w:p>
        </w:tc>
        <w:tc>
          <w:tcPr>
            <w:tcW w:w="1853" w:type="pct"/>
            <w:gridSpan w:val="2"/>
          </w:tcPr>
          <w:p>
            <w:p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vMerge w:val="continue"/>
            <w:vAlign w:val="center"/>
          </w:tcPr>
          <w:p>
            <w:pPr>
              <w:jc w:val="center"/>
              <w:rPr>
                <w:rFonts w:hint="eastAsia" w:ascii="宋体" w:hAnsi="宋体" w:eastAsia="宋体" w:cs="宋体"/>
                <w:sz w:val="28"/>
                <w:szCs w:val="28"/>
                <w:vertAlign w:val="baseline"/>
                <w:lang w:val="en-US" w:eastAsia="zh-CN"/>
              </w:rPr>
            </w:pPr>
          </w:p>
        </w:tc>
        <w:tc>
          <w:tcPr>
            <w:tcW w:w="695" w:type="pct"/>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实习单位</w:t>
            </w:r>
          </w:p>
        </w:tc>
        <w:tc>
          <w:tcPr>
            <w:tcW w:w="1263" w:type="pct"/>
            <w:gridSpan w:val="2"/>
          </w:tcPr>
          <w:p>
            <w:pPr>
              <w:jc w:val="center"/>
              <w:rPr>
                <w:rFonts w:hint="eastAsia" w:ascii="宋体" w:hAnsi="宋体" w:eastAsia="宋体" w:cs="宋体"/>
                <w:sz w:val="28"/>
                <w:szCs w:val="28"/>
                <w:vertAlign w:val="baseline"/>
                <w:lang w:val="en-US" w:eastAsia="zh-CN"/>
              </w:rPr>
            </w:pPr>
          </w:p>
        </w:tc>
        <w:tc>
          <w:tcPr>
            <w:tcW w:w="774" w:type="pct"/>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实习岗位</w:t>
            </w:r>
          </w:p>
        </w:tc>
        <w:tc>
          <w:tcPr>
            <w:tcW w:w="1853" w:type="pct"/>
            <w:gridSpan w:val="2"/>
          </w:tcPr>
          <w:p>
            <w:p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3" w:type="pct"/>
            <w:vMerge w:val="continue"/>
            <w:vAlign w:val="center"/>
          </w:tcPr>
          <w:p>
            <w:pPr>
              <w:jc w:val="center"/>
              <w:rPr>
                <w:rFonts w:hint="eastAsia" w:ascii="宋体" w:hAnsi="宋体" w:eastAsia="宋体" w:cs="宋体"/>
                <w:sz w:val="28"/>
                <w:szCs w:val="28"/>
                <w:vertAlign w:val="baseline"/>
                <w:lang w:val="en-US" w:eastAsia="zh-CN"/>
              </w:rPr>
            </w:pPr>
          </w:p>
        </w:tc>
        <w:tc>
          <w:tcPr>
            <w:tcW w:w="695" w:type="pct"/>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实习时间</w:t>
            </w:r>
          </w:p>
        </w:tc>
        <w:tc>
          <w:tcPr>
            <w:tcW w:w="3891" w:type="pct"/>
            <w:gridSpan w:val="5"/>
          </w:tcPr>
          <w:p>
            <w:p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3" w:type="pct"/>
            <w:vMerge w:val="restart"/>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指导教师填写</w:t>
            </w:r>
          </w:p>
        </w:tc>
        <w:tc>
          <w:tcPr>
            <w:tcW w:w="695" w:type="pct"/>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评价项目</w:t>
            </w:r>
          </w:p>
        </w:tc>
        <w:tc>
          <w:tcPr>
            <w:tcW w:w="402" w:type="pct"/>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分值</w:t>
            </w:r>
          </w:p>
        </w:tc>
        <w:tc>
          <w:tcPr>
            <w:tcW w:w="3075" w:type="pct"/>
            <w:gridSpan w:val="3"/>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评价参考标准</w:t>
            </w:r>
          </w:p>
        </w:tc>
        <w:tc>
          <w:tcPr>
            <w:tcW w:w="412" w:type="pct"/>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8" w:hRule="atLeast"/>
        </w:trPr>
        <w:tc>
          <w:tcPr>
            <w:tcW w:w="413" w:type="pct"/>
            <w:vMerge w:val="continue"/>
          </w:tcPr>
          <w:p>
            <w:pPr>
              <w:jc w:val="center"/>
              <w:rPr>
                <w:rFonts w:hint="eastAsia" w:ascii="宋体" w:hAnsi="宋体" w:eastAsia="宋体" w:cs="宋体"/>
                <w:sz w:val="28"/>
                <w:szCs w:val="28"/>
                <w:vertAlign w:val="baseline"/>
                <w:lang w:val="en-US" w:eastAsia="zh-CN"/>
              </w:rPr>
            </w:pPr>
          </w:p>
        </w:tc>
        <w:tc>
          <w:tcPr>
            <w:tcW w:w="695" w:type="pct"/>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实习态度</w:t>
            </w:r>
          </w:p>
        </w:tc>
        <w:tc>
          <w:tcPr>
            <w:tcW w:w="402" w:type="pct"/>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20</w:t>
            </w:r>
          </w:p>
        </w:tc>
        <w:tc>
          <w:tcPr>
            <w:tcW w:w="3075" w:type="pct"/>
            <w:gridSpan w:val="3"/>
            <w:vAlign w:val="center"/>
          </w:tcPr>
          <w:p>
            <w:pPr>
              <w:bidi w:val="0"/>
              <w:jc w:val="center"/>
              <w:rPr>
                <w:rFonts w:hint="eastAsia"/>
                <w:sz w:val="28"/>
                <w:szCs w:val="28"/>
                <w:lang w:val="en-US" w:eastAsia="zh-CN"/>
              </w:rPr>
            </w:pPr>
            <w:r>
              <w:rPr>
                <w:rFonts w:hint="eastAsia"/>
                <w:sz w:val="28"/>
                <w:szCs w:val="28"/>
                <w:lang w:val="en-US" w:eastAsia="zh-CN"/>
              </w:rPr>
              <w:t>工作积极主动，认真负责，接受实习指导教师的指导，虚心好学，勤奋，踏实可干</w:t>
            </w:r>
          </w:p>
        </w:tc>
        <w:tc>
          <w:tcPr>
            <w:tcW w:w="412" w:type="pct"/>
          </w:tcPr>
          <w:p>
            <w:p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1" w:hRule="atLeast"/>
        </w:trPr>
        <w:tc>
          <w:tcPr>
            <w:tcW w:w="413" w:type="pct"/>
            <w:vMerge w:val="continue"/>
          </w:tcPr>
          <w:p>
            <w:pPr>
              <w:jc w:val="center"/>
              <w:rPr>
                <w:rFonts w:hint="eastAsia" w:ascii="宋体" w:hAnsi="宋体" w:eastAsia="宋体" w:cs="宋体"/>
                <w:sz w:val="28"/>
                <w:szCs w:val="28"/>
                <w:vertAlign w:val="baseline"/>
                <w:lang w:val="en-US" w:eastAsia="zh-CN"/>
              </w:rPr>
            </w:pPr>
          </w:p>
        </w:tc>
        <w:tc>
          <w:tcPr>
            <w:tcW w:w="695" w:type="pct"/>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实习纪律</w:t>
            </w:r>
          </w:p>
        </w:tc>
        <w:tc>
          <w:tcPr>
            <w:tcW w:w="402" w:type="pct"/>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10</w:t>
            </w:r>
          </w:p>
        </w:tc>
        <w:tc>
          <w:tcPr>
            <w:tcW w:w="3075" w:type="pct"/>
            <w:gridSpan w:val="3"/>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实习期间，遵守国家法律法规，遵守学校和实习单位的有关规章制度，服从指导老师及实习小组的领导和帮助</w:t>
            </w:r>
          </w:p>
        </w:tc>
        <w:tc>
          <w:tcPr>
            <w:tcW w:w="412" w:type="pct"/>
          </w:tcPr>
          <w:p>
            <w:p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vMerge w:val="continue"/>
          </w:tcPr>
          <w:p>
            <w:pPr>
              <w:jc w:val="center"/>
              <w:rPr>
                <w:rFonts w:hint="eastAsia" w:ascii="宋体" w:hAnsi="宋体" w:eastAsia="宋体" w:cs="宋体"/>
                <w:sz w:val="28"/>
                <w:szCs w:val="28"/>
                <w:vertAlign w:val="baseline"/>
                <w:lang w:val="en-US" w:eastAsia="zh-CN"/>
              </w:rPr>
            </w:pPr>
          </w:p>
        </w:tc>
        <w:tc>
          <w:tcPr>
            <w:tcW w:w="695" w:type="pct"/>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人际关系</w:t>
            </w:r>
          </w:p>
        </w:tc>
        <w:tc>
          <w:tcPr>
            <w:tcW w:w="402" w:type="pct"/>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10</w:t>
            </w:r>
          </w:p>
        </w:tc>
        <w:tc>
          <w:tcPr>
            <w:tcW w:w="3075" w:type="pct"/>
            <w:gridSpan w:val="3"/>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对人热情有礼，人机关系良好，尊重指导老师及实习单位领导</w:t>
            </w:r>
          </w:p>
        </w:tc>
        <w:tc>
          <w:tcPr>
            <w:tcW w:w="412" w:type="pct"/>
          </w:tcPr>
          <w:p>
            <w:p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vMerge w:val="continue"/>
          </w:tcPr>
          <w:p>
            <w:pPr>
              <w:jc w:val="center"/>
              <w:rPr>
                <w:rFonts w:hint="eastAsia" w:ascii="宋体" w:hAnsi="宋体" w:eastAsia="宋体" w:cs="宋体"/>
                <w:sz w:val="28"/>
                <w:szCs w:val="28"/>
                <w:vertAlign w:val="baseline"/>
                <w:lang w:val="en-US" w:eastAsia="zh-CN"/>
              </w:rPr>
            </w:pPr>
          </w:p>
        </w:tc>
        <w:tc>
          <w:tcPr>
            <w:tcW w:w="695" w:type="pct"/>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团队协作</w:t>
            </w:r>
          </w:p>
        </w:tc>
        <w:tc>
          <w:tcPr>
            <w:tcW w:w="402" w:type="pct"/>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10</w:t>
            </w:r>
          </w:p>
        </w:tc>
        <w:tc>
          <w:tcPr>
            <w:tcW w:w="3075" w:type="pct"/>
            <w:gridSpan w:val="3"/>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能正确处理好个人与集体的关系，有团队合作精神</w:t>
            </w:r>
          </w:p>
        </w:tc>
        <w:tc>
          <w:tcPr>
            <w:tcW w:w="412" w:type="pct"/>
          </w:tcPr>
          <w:p>
            <w:p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vMerge w:val="continue"/>
          </w:tcPr>
          <w:p>
            <w:pPr>
              <w:jc w:val="center"/>
              <w:rPr>
                <w:rFonts w:hint="eastAsia" w:ascii="宋体" w:hAnsi="宋体" w:eastAsia="宋体" w:cs="宋体"/>
                <w:sz w:val="28"/>
                <w:szCs w:val="28"/>
                <w:vertAlign w:val="baseline"/>
                <w:lang w:val="en-US" w:eastAsia="zh-CN"/>
              </w:rPr>
            </w:pPr>
          </w:p>
        </w:tc>
        <w:tc>
          <w:tcPr>
            <w:tcW w:w="695" w:type="pct"/>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创新精神</w:t>
            </w:r>
          </w:p>
        </w:tc>
        <w:tc>
          <w:tcPr>
            <w:tcW w:w="402" w:type="pct"/>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10</w:t>
            </w:r>
          </w:p>
        </w:tc>
        <w:tc>
          <w:tcPr>
            <w:tcW w:w="3075" w:type="pct"/>
            <w:gridSpan w:val="3"/>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善于总结求新，能提出有建设性的意见和建议</w:t>
            </w:r>
          </w:p>
        </w:tc>
        <w:tc>
          <w:tcPr>
            <w:tcW w:w="412" w:type="pct"/>
          </w:tcPr>
          <w:p>
            <w:p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vMerge w:val="continue"/>
          </w:tcPr>
          <w:p>
            <w:pPr>
              <w:jc w:val="center"/>
              <w:rPr>
                <w:rFonts w:hint="eastAsia" w:ascii="宋体" w:hAnsi="宋体" w:eastAsia="宋体" w:cs="宋体"/>
                <w:sz w:val="28"/>
                <w:szCs w:val="28"/>
                <w:vertAlign w:val="baseline"/>
                <w:lang w:val="en-US" w:eastAsia="zh-CN"/>
              </w:rPr>
            </w:pPr>
          </w:p>
        </w:tc>
        <w:tc>
          <w:tcPr>
            <w:tcW w:w="695" w:type="pct"/>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专业技能</w:t>
            </w:r>
          </w:p>
        </w:tc>
        <w:tc>
          <w:tcPr>
            <w:tcW w:w="402" w:type="pct"/>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20</w:t>
            </w:r>
          </w:p>
        </w:tc>
        <w:tc>
          <w:tcPr>
            <w:tcW w:w="3075" w:type="pct"/>
            <w:gridSpan w:val="3"/>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有较好的操作能力和水平，能运用专业知识，解决实习工作中的问题</w:t>
            </w:r>
          </w:p>
        </w:tc>
        <w:tc>
          <w:tcPr>
            <w:tcW w:w="412" w:type="pct"/>
          </w:tcPr>
          <w:p>
            <w:p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vMerge w:val="continue"/>
          </w:tcPr>
          <w:p>
            <w:pPr>
              <w:jc w:val="center"/>
              <w:rPr>
                <w:rFonts w:hint="eastAsia" w:ascii="宋体" w:hAnsi="宋体" w:eastAsia="宋体" w:cs="宋体"/>
                <w:sz w:val="28"/>
                <w:szCs w:val="28"/>
                <w:vertAlign w:val="baseline"/>
                <w:lang w:val="en-US" w:eastAsia="zh-CN"/>
              </w:rPr>
            </w:pPr>
          </w:p>
        </w:tc>
        <w:tc>
          <w:tcPr>
            <w:tcW w:w="695" w:type="pct"/>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实习效果</w:t>
            </w:r>
          </w:p>
        </w:tc>
        <w:tc>
          <w:tcPr>
            <w:tcW w:w="402" w:type="pct"/>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20</w:t>
            </w:r>
          </w:p>
        </w:tc>
        <w:tc>
          <w:tcPr>
            <w:tcW w:w="3075" w:type="pct"/>
            <w:gridSpan w:val="3"/>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工作方法灵活，完成工作岗位任务效果好，质量高</w:t>
            </w:r>
          </w:p>
        </w:tc>
        <w:tc>
          <w:tcPr>
            <w:tcW w:w="412" w:type="pct"/>
          </w:tcPr>
          <w:p>
            <w:p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vMerge w:val="continue"/>
          </w:tcPr>
          <w:p>
            <w:pPr>
              <w:jc w:val="center"/>
              <w:rPr>
                <w:rFonts w:hint="eastAsia" w:ascii="宋体" w:hAnsi="宋体" w:eastAsia="宋体" w:cs="宋体"/>
                <w:sz w:val="28"/>
                <w:szCs w:val="28"/>
                <w:vertAlign w:val="baseline"/>
                <w:lang w:val="en-US" w:eastAsia="zh-CN"/>
              </w:rPr>
            </w:pPr>
          </w:p>
        </w:tc>
        <w:tc>
          <w:tcPr>
            <w:tcW w:w="4586" w:type="pct"/>
            <w:gridSpan w:val="6"/>
          </w:tcPr>
          <w:p>
            <w:pPr>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实习指导老师评价总分：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vMerge w:val="continue"/>
          </w:tcPr>
          <w:p>
            <w:pPr>
              <w:jc w:val="center"/>
              <w:rPr>
                <w:rFonts w:hint="eastAsia" w:ascii="宋体" w:hAnsi="宋体" w:eastAsia="宋体" w:cs="宋体"/>
                <w:sz w:val="28"/>
                <w:szCs w:val="28"/>
                <w:vertAlign w:val="baseline"/>
                <w:lang w:val="en-US" w:eastAsia="zh-CN"/>
              </w:rPr>
            </w:pPr>
          </w:p>
        </w:tc>
        <w:tc>
          <w:tcPr>
            <w:tcW w:w="4586" w:type="pct"/>
            <w:gridSpan w:val="6"/>
          </w:tcPr>
          <w:p>
            <w:pPr>
              <w:jc w:val="both"/>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实习指导老师签名：                              年     月    日</w:t>
            </w:r>
          </w:p>
        </w:tc>
      </w:tr>
    </w:tbl>
    <w:p>
      <w:pPr>
        <w:spacing w:line="360" w:lineRule="auto"/>
        <w:jc w:val="left"/>
        <w:rPr>
          <w:rFonts w:hint="eastAsia"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6E1589"/>
    <w:multiLevelType w:val="singleLevel"/>
    <w:tmpl w:val="7A6E1589"/>
    <w:lvl w:ilvl="0" w:tentative="0">
      <w:start w:val="1"/>
      <w:numFmt w:val="decimalEnclosedCircleChinese"/>
      <w:suff w:val="nothing"/>
      <w:lvlText w:val="%1　"/>
      <w:lvlJc w:val="left"/>
      <w:pPr>
        <w:ind w:left="0" w:firstLine="4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07"/>
    <w:rsid w:val="0011268E"/>
    <w:rsid w:val="002B2416"/>
    <w:rsid w:val="00353FF9"/>
    <w:rsid w:val="004A2507"/>
    <w:rsid w:val="00514DD4"/>
    <w:rsid w:val="009E5933"/>
    <w:rsid w:val="00A76C3E"/>
    <w:rsid w:val="00B51B29"/>
    <w:rsid w:val="02DD0BA0"/>
    <w:rsid w:val="1E7461E9"/>
    <w:rsid w:val="1FCF3652"/>
    <w:rsid w:val="22C05045"/>
    <w:rsid w:val="2C3F7684"/>
    <w:rsid w:val="3A613B66"/>
    <w:rsid w:val="3CB75F8F"/>
    <w:rsid w:val="437558E7"/>
    <w:rsid w:val="472E40F1"/>
    <w:rsid w:val="4BC05DCB"/>
    <w:rsid w:val="4FF32A87"/>
    <w:rsid w:val="53003FDC"/>
    <w:rsid w:val="679E6634"/>
    <w:rsid w:val="710F76C5"/>
    <w:rsid w:val="728E37D4"/>
    <w:rsid w:val="75530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22"/>
    <w:rPr>
      <w:b/>
    </w:rPr>
  </w:style>
  <w:style w:type="character" w:styleId="6">
    <w:name w:val="FollowedHyperlink"/>
    <w:basedOn w:val="4"/>
    <w:semiHidden/>
    <w:unhideWhenUsed/>
    <w:qFormat/>
    <w:uiPriority w:val="99"/>
    <w:rPr>
      <w:color w:val="337AB7"/>
      <w:u w:val="none"/>
    </w:rPr>
  </w:style>
  <w:style w:type="character" w:styleId="7">
    <w:name w:val="HTML Definition"/>
    <w:basedOn w:val="4"/>
    <w:semiHidden/>
    <w:unhideWhenUsed/>
    <w:qFormat/>
    <w:uiPriority w:val="99"/>
    <w:rPr>
      <w:i/>
    </w:rPr>
  </w:style>
  <w:style w:type="character" w:styleId="8">
    <w:name w:val="Hyperlink"/>
    <w:basedOn w:val="4"/>
    <w:semiHidden/>
    <w:unhideWhenUsed/>
    <w:qFormat/>
    <w:uiPriority w:val="99"/>
    <w:rPr>
      <w:color w:val="337AB7"/>
      <w:u w:val="none"/>
    </w:rPr>
  </w:style>
  <w:style w:type="character" w:styleId="9">
    <w:name w:val="HTML Code"/>
    <w:basedOn w:val="4"/>
    <w:semiHidden/>
    <w:unhideWhenUsed/>
    <w:uiPriority w:val="99"/>
    <w:rPr>
      <w:rFonts w:hint="default" w:ascii="Consolas" w:hAnsi="Consolas" w:eastAsia="Consolas" w:cs="Consolas"/>
      <w:color w:val="C7254E"/>
      <w:sz w:val="21"/>
      <w:szCs w:val="21"/>
      <w:shd w:val="clear" w:fill="F9F2F4"/>
    </w:rPr>
  </w:style>
  <w:style w:type="character" w:styleId="10">
    <w:name w:val="HTML Keyboard"/>
    <w:basedOn w:val="4"/>
    <w:semiHidden/>
    <w:unhideWhenUsed/>
    <w:qFormat/>
    <w:uiPriority w:val="99"/>
    <w:rPr>
      <w:rFonts w:hint="default" w:ascii="Consolas" w:hAnsi="Consolas" w:eastAsia="Consolas" w:cs="Consolas"/>
      <w:color w:val="FFFFFF"/>
      <w:sz w:val="21"/>
      <w:szCs w:val="21"/>
      <w:shd w:val="clear" w:fill="333333"/>
    </w:rPr>
  </w:style>
  <w:style w:type="character" w:styleId="11">
    <w:name w:val="HTML Sample"/>
    <w:basedOn w:val="4"/>
    <w:semiHidden/>
    <w:unhideWhenUsed/>
    <w:qFormat/>
    <w:uiPriority w:val="99"/>
    <w:rPr>
      <w:rFonts w:ascii="Consolas" w:hAnsi="Consolas" w:eastAsia="Consolas" w:cs="Consolas"/>
      <w:sz w:val="21"/>
      <w:szCs w:val="21"/>
    </w:rPr>
  </w:style>
  <w:style w:type="character" w:customStyle="1" w:styleId="12">
    <w:name w:val="nth-child(2)"/>
    <w:basedOn w:val="4"/>
    <w:qFormat/>
    <w:uiPriority w:val="0"/>
    <w:rPr>
      <w:rFonts w:ascii="微软雅黑" w:hAnsi="微软雅黑" w:eastAsia="微软雅黑" w:cs="微软雅黑"/>
      <w:color w:val="024585"/>
      <w:sz w:val="24"/>
      <w:szCs w:val="24"/>
    </w:rPr>
  </w:style>
  <w:style w:type="character" w:customStyle="1" w:styleId="13">
    <w:name w:val="nth-child(1)"/>
    <w:basedOn w:val="4"/>
    <w:uiPriority w:val="0"/>
    <w:rPr>
      <w:rFonts w:hint="eastAsia" w:ascii="微软雅黑" w:hAnsi="微软雅黑" w:eastAsia="微软雅黑" w:cs="微软雅黑"/>
      <w:color w:val="0078EB"/>
      <w:sz w:val="21"/>
      <w:szCs w:val="21"/>
    </w:rPr>
  </w:style>
  <w:style w:type="character" w:customStyle="1" w:styleId="14">
    <w:name w:val="bsharetext"/>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80</Words>
  <Characters>458</Characters>
  <Lines>3</Lines>
  <Paragraphs>1</Paragraphs>
  <TotalTime>9</TotalTime>
  <ScaleCrop>false</ScaleCrop>
  <LinksUpToDate>false</LinksUpToDate>
  <CharactersWithSpaces>537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2020-10-15T01:16:00Z</dcterms:created>
  <dc:creator>cq001</dc:creator>
  <cp:lastModifiedBy>飞飞</cp:lastModifiedBy>
  <dcterms:modified xsi:type="dcterms:W3CDTF">2021-05-12T01:10:49Z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F18373D7B683414BBB9183FB111BB769</vt:lpwstr>
  </property>
</Properties>
</file>